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1" w:rsidRDefault="00E36FC1">
      <w:pPr>
        <w:pStyle w:val="Normal1"/>
      </w:pPr>
      <w:bookmarkStart w:id="0" w:name="_gjdgxs" w:colFirst="0" w:colLast="0"/>
      <w:bookmarkStart w:id="1" w:name="_GoBack"/>
      <w:bookmarkEnd w:id="0"/>
      <w:bookmarkEnd w:id="1"/>
    </w:p>
    <w:p w:rsidR="00E36FC1" w:rsidRDefault="00E36FC1">
      <w:pPr>
        <w:pStyle w:val="Normal1"/>
      </w:pPr>
    </w:p>
    <w:p w:rsidR="00E36FC1" w:rsidRDefault="00E36FC1">
      <w:pPr>
        <w:pStyle w:val="Normal1"/>
      </w:pPr>
    </w:p>
    <w:p w:rsidR="00E36FC1" w:rsidRDefault="002244D7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Minutes of Bingley Medical Practice</w:t>
      </w:r>
    </w:p>
    <w:p w:rsidR="00E36FC1" w:rsidRDefault="002244D7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Patients Participation Group</w:t>
      </w:r>
    </w:p>
    <w:p w:rsidR="00E36FC1" w:rsidRDefault="002244D7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Monday 13th November 2017</w:t>
      </w:r>
    </w:p>
    <w:p w:rsidR="00E36FC1" w:rsidRDefault="00E36FC1">
      <w:pPr>
        <w:pStyle w:val="Normal1"/>
      </w:pPr>
    </w:p>
    <w:tbl>
      <w:tblPr>
        <w:tblStyle w:val="a"/>
        <w:tblW w:w="16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9060"/>
        <w:gridCol w:w="3405"/>
      </w:tblGrid>
      <w:tr w:rsidR="00E36FC1">
        <w:tc>
          <w:tcPr>
            <w:tcW w:w="4020" w:type="dxa"/>
            <w:shd w:val="clear" w:color="auto" w:fill="auto"/>
          </w:tcPr>
          <w:p w:rsidR="00E36FC1" w:rsidRDefault="002244D7">
            <w:pPr>
              <w:pStyle w:val="Normal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Items</w:t>
            </w:r>
          </w:p>
        </w:tc>
        <w:tc>
          <w:tcPr>
            <w:tcW w:w="9060" w:type="dxa"/>
            <w:shd w:val="clear" w:color="auto" w:fill="auto"/>
          </w:tcPr>
          <w:p w:rsidR="00E36FC1" w:rsidRDefault="002244D7">
            <w:pPr>
              <w:pStyle w:val="Normal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Minutes</w:t>
            </w:r>
          </w:p>
        </w:tc>
        <w:tc>
          <w:tcPr>
            <w:tcW w:w="3405" w:type="dxa"/>
            <w:shd w:val="clear" w:color="auto" w:fill="auto"/>
          </w:tcPr>
          <w:p w:rsidR="00E36FC1" w:rsidRDefault="002244D7">
            <w:pPr>
              <w:pStyle w:val="Normal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Outcome/Action</w:t>
            </w: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jc w:val="center"/>
            </w:pPr>
          </w:p>
          <w:p w:rsidR="00E36FC1" w:rsidRDefault="00E36FC1">
            <w:pPr>
              <w:pStyle w:val="Normal1"/>
              <w:jc w:val="center"/>
            </w:pPr>
          </w:p>
          <w:p w:rsidR="00E36FC1" w:rsidRDefault="002244D7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Apologies and Welcome</w:t>
            </w:r>
          </w:p>
        </w:tc>
        <w:tc>
          <w:tcPr>
            <w:tcW w:w="9060" w:type="dxa"/>
            <w:shd w:val="clear" w:color="auto" w:fill="auto"/>
          </w:tcPr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Present: </w:t>
            </w:r>
            <w:r>
              <w:rPr>
                <w:rFonts w:ascii="Arial" w:eastAsia="Arial" w:hAnsi="Arial" w:cs="Arial"/>
              </w:rPr>
              <w:t xml:space="preserve">Jill Wadsworth, David Child, Nadia Long, Lynn Asquith, Pam James, 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Rowlinson. Jessica Prance, Charlotte Hamilton, Norma Bartle, Pam Vinnicombe, Michelle Beaumont, Margaret Tetley, Elizabeth Bush, Emma Oats</w:t>
            </w:r>
            <w:r w:rsidR="00F4258B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Carey Dowson, Dr.Bridget Pitcairn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Apologies:</w:t>
            </w:r>
            <w:r>
              <w:rPr>
                <w:rFonts w:ascii="Arial" w:eastAsia="Arial" w:hAnsi="Arial" w:cs="Arial"/>
              </w:rPr>
              <w:t xml:space="preserve"> Akram Khan-Cheema. Ian Hodgson, Lisa H Wade, Cathy Naylor.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2244D7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 of Last Meeting</w:t>
            </w:r>
          </w:p>
        </w:tc>
        <w:tc>
          <w:tcPr>
            <w:tcW w:w="9060" w:type="dxa"/>
            <w:shd w:val="clear" w:color="auto" w:fill="auto"/>
          </w:tcPr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Cambria" w:eastAsia="Cambria" w:hAnsi="Cambria" w:cs="Cambria"/>
              </w:rPr>
              <w:t xml:space="preserve">            </w:t>
            </w:r>
            <w:r>
              <w:rPr>
                <w:rFonts w:ascii="Arial" w:eastAsia="Arial" w:hAnsi="Arial" w:cs="Arial"/>
              </w:rPr>
              <w:t xml:space="preserve"> Minutes of Monday 11th </w:t>
            </w:r>
            <w:r w:rsidR="00F4258B">
              <w:rPr>
                <w:rFonts w:ascii="Arial" w:eastAsia="Arial" w:hAnsi="Arial" w:cs="Arial"/>
              </w:rPr>
              <w:t>September 2017</w:t>
            </w:r>
            <w:r>
              <w:rPr>
                <w:rFonts w:ascii="Arial" w:eastAsia="Arial" w:hAnsi="Arial" w:cs="Arial"/>
              </w:rPr>
              <w:t xml:space="preserve"> Approved  </w:t>
            </w:r>
          </w:p>
          <w:p w:rsidR="00E36FC1" w:rsidRDefault="002244D7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</w:t>
            </w: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2244D7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Concerns, Comments &amp; Suggestions</w:t>
            </w: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9060" w:type="dxa"/>
            <w:shd w:val="clear" w:color="auto" w:fill="auto"/>
          </w:tcPr>
          <w:p w:rsidR="00E36FC1" w:rsidRDefault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 that the receptionists seem under too much pressure and that they seem rushed - That they keep disappearing through the door at the back of reception.</w:t>
            </w:r>
          </w:p>
          <w:p w:rsidR="002244D7" w:rsidRPr="002244D7" w:rsidRDefault="002244D7" w:rsidP="002244D7">
            <w:pPr>
              <w:pStyle w:val="Normal1"/>
              <w:ind w:left="720"/>
              <w:contextualSpacing/>
              <w:rPr>
                <w:rFonts w:ascii="Arial" w:eastAsia="Arial" w:hAnsi="Arial" w:cs="Arial"/>
                <w:b/>
              </w:rPr>
            </w:pPr>
            <w:r w:rsidRPr="002244D7">
              <w:rPr>
                <w:rFonts w:ascii="Arial" w:eastAsia="Arial" w:hAnsi="Arial" w:cs="Arial"/>
                <w:b/>
              </w:rPr>
              <w:t>Response</w:t>
            </w:r>
          </w:p>
          <w:p w:rsidR="002244D7" w:rsidRDefault="002244D7" w:rsidP="002244D7">
            <w:pPr>
              <w:pStyle w:val="Normal1"/>
              <w:ind w:left="72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Carey to talk to staff and remind them that they are not to leave the desk for more than two minutes.</w:t>
            </w:r>
          </w:p>
          <w:p w:rsidR="00E36FC1" w:rsidRDefault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patient was in the surgery asking for an appointment but told to go home and telephone for an appointment. </w:t>
            </w:r>
          </w:p>
          <w:p w:rsidR="00E36FC1" w:rsidRDefault="002244D7">
            <w:pPr>
              <w:pStyle w:val="Normal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Response </w:t>
            </w:r>
            <w:r>
              <w:rPr>
                <w:rFonts w:ascii="Arial" w:eastAsia="Arial" w:hAnsi="Arial" w:cs="Arial"/>
              </w:rPr>
              <w:t xml:space="preserve">Carey explained how the appointments system works and stated                 the practice prides itself on getting patients appointments on the same day,  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F4258B"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</w:rPr>
              <w:t xml:space="preserve"> they are creating Staff to float.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He encourages staff to say ‘I need help’                        </w:t>
            </w:r>
          </w:p>
          <w:p w:rsidR="00E36FC1" w:rsidRDefault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Patient stated that they were spoken to rudely by a receptionist who stated ‘I don’t do that you need to speak to the other receptionist’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  <w:b/>
              </w:rPr>
              <w:t xml:space="preserve">   Response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</w:t>
            </w:r>
            <w:r>
              <w:rPr>
                <w:rFonts w:ascii="Arial" w:eastAsia="Arial" w:hAnsi="Arial" w:cs="Arial"/>
              </w:rPr>
              <w:t xml:space="preserve">    Carey to mention this at the staff meeting.</w:t>
            </w:r>
          </w:p>
          <w:p w:rsidR="002244D7" w:rsidRPr="002244D7" w:rsidRDefault="002244D7" w:rsidP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 patient requesting that telephone number be printed onto the bottom of the prescriptions, </w:t>
            </w:r>
          </w:p>
          <w:p w:rsidR="00E36FC1" w:rsidRDefault="002244D7" w:rsidP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Response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>Dr Pitcairn said that the telephone number was on the sheet which is   given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back to the patient by the pharmacist                           </w:t>
            </w:r>
          </w:p>
          <w:p w:rsidR="00E36FC1" w:rsidRDefault="002244D7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Louise Gravner is delightful and that she should get a raise!</w:t>
            </w:r>
          </w:p>
          <w:p w:rsidR="00E36FC1" w:rsidRDefault="002244D7" w:rsidP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  7.  Jill Wadsworth asked if we could have a ‘You said - We did’ Put above </w:t>
            </w:r>
            <w:r w:rsidR="00F4258B">
              <w:rPr>
                <w:rFonts w:ascii="Arial" w:eastAsia="Arial" w:hAnsi="Arial" w:cs="Arial"/>
              </w:rPr>
              <w:t>the PPG</w:t>
            </w:r>
            <w:r>
              <w:rPr>
                <w:rFonts w:ascii="Arial" w:eastAsia="Arial" w:hAnsi="Arial" w:cs="Arial"/>
              </w:rPr>
              <w:t xml:space="preserve"> Desk?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  <w:b/>
              </w:rPr>
              <w:t>Response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</w:rPr>
              <w:t xml:space="preserve"> This was deemed to be a good idea</w:t>
            </w:r>
          </w:p>
          <w:p w:rsidR="002244D7" w:rsidRDefault="002244D7" w:rsidP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8.  A member of the PPG commented that the flu clinic was very well run</w:t>
            </w:r>
          </w:p>
          <w:p w:rsidR="002244D7" w:rsidRDefault="002244D7" w:rsidP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  <w:b/>
              </w:rPr>
              <w:t xml:space="preserve"> Response</w:t>
            </w:r>
          </w:p>
          <w:p w:rsidR="002244D7" w:rsidRDefault="002244D7" w:rsidP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   Carey to take the comments back to the staff meeting</w:t>
            </w:r>
          </w:p>
          <w:p w:rsidR="002244D7" w:rsidRDefault="002244D7" w:rsidP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9.  David </w:t>
            </w:r>
            <w:r w:rsidR="00F4258B">
              <w:rPr>
                <w:rFonts w:ascii="Arial" w:eastAsia="Arial" w:hAnsi="Arial" w:cs="Arial"/>
              </w:rPr>
              <w:t>Rawlinson</w:t>
            </w:r>
            <w:r>
              <w:rPr>
                <w:rFonts w:ascii="Arial" w:eastAsia="Arial" w:hAnsi="Arial" w:cs="Arial"/>
              </w:rPr>
              <w:t xml:space="preserve"> asked Why does it take the secretaries 7 days to send a     letter for a referral</w:t>
            </w:r>
          </w:p>
          <w:p w:rsidR="002244D7" w:rsidRDefault="002244D7" w:rsidP="002244D7">
            <w:pPr>
              <w:pStyle w:val="Normal1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Response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Dr Pitcairn explained that urgent referrals are red flagged and non-urgent </w:t>
            </w:r>
            <w:r w:rsidR="00F4258B">
              <w:rPr>
                <w:rFonts w:ascii="Arial" w:eastAsia="Arial" w:hAnsi="Arial" w:cs="Arial"/>
              </w:rPr>
              <w:t>referrals are</w:t>
            </w:r>
            <w:r>
              <w:rPr>
                <w:rFonts w:ascii="Arial" w:eastAsia="Arial" w:hAnsi="Arial" w:cs="Arial"/>
              </w:rPr>
              <w:t xml:space="preserve"> orange flagged which could therefore take 2 weeks.</w:t>
            </w:r>
          </w:p>
          <w:p w:rsidR="002244D7" w:rsidRDefault="002244D7" w:rsidP="002244D7">
            <w:pPr>
              <w:pStyle w:val="Normal1"/>
              <w:rPr>
                <w:rFonts w:ascii="Arial" w:eastAsia="Arial" w:hAnsi="Arial" w:cs="Arial"/>
              </w:rPr>
            </w:pPr>
          </w:p>
          <w:p w:rsidR="002244D7" w:rsidRDefault="002244D7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Carey to take back to his staff</w:t>
            </w:r>
          </w:p>
        </w:tc>
      </w:tr>
      <w:tr w:rsidR="00E36FC1">
        <w:trPr>
          <w:trHeight w:val="2920"/>
        </w:trPr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rPr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2244D7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Newsletter</w:t>
            </w: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060" w:type="dxa"/>
            <w:shd w:val="clear" w:color="auto" w:fill="auto"/>
          </w:tcPr>
          <w:p w:rsidR="00E36FC1" w:rsidRDefault="00E36FC1">
            <w:pPr>
              <w:pStyle w:val="Normal1"/>
              <w:spacing w:line="300" w:lineRule="auto"/>
              <w:rPr>
                <w:rFonts w:ascii="Arial" w:eastAsia="Arial" w:hAnsi="Arial" w:cs="Arial"/>
              </w:rPr>
            </w:pPr>
          </w:p>
          <w:p w:rsidR="00E36FC1" w:rsidRDefault="00E36FC1">
            <w:pPr>
              <w:pStyle w:val="Normal1"/>
              <w:spacing w:line="300" w:lineRule="auto"/>
              <w:rPr>
                <w:rFonts w:ascii="Arial" w:eastAsia="Arial" w:hAnsi="Arial" w:cs="Arial"/>
              </w:rPr>
            </w:pPr>
          </w:p>
          <w:p w:rsidR="00E36FC1" w:rsidRDefault="00E36FC1">
            <w:pPr>
              <w:pStyle w:val="Normal1"/>
              <w:spacing w:line="300" w:lineRule="auto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spacing w:line="3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asked to be emailed suggestions</w:t>
            </w:r>
          </w:p>
          <w:p w:rsidR="00E36FC1" w:rsidRDefault="002244D7">
            <w:pPr>
              <w:pStyle w:val="Normal1"/>
              <w:spacing w:line="300" w:lineRule="auto"/>
              <w:rPr>
                <w:rFonts w:ascii="Cambria" w:eastAsia="Cambria" w:hAnsi="Cambria" w:cs="Cambria"/>
              </w:rPr>
            </w:pPr>
            <w:r>
              <w:rPr>
                <w:rFonts w:ascii="Arial" w:eastAsia="Arial" w:hAnsi="Arial" w:cs="Arial"/>
              </w:rPr>
              <w:t>Pam asked if we could include - How to choose a GP</w:t>
            </w:r>
            <w:r w:rsidR="00F4258B">
              <w:rPr>
                <w:rFonts w:ascii="Arial" w:eastAsia="Arial" w:hAnsi="Arial" w:cs="Arial"/>
              </w:rPr>
              <w:t>?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E36FC1" w:rsidRDefault="00E36FC1">
            <w:pPr>
              <w:pStyle w:val="Normal1"/>
              <w:spacing w:line="300" w:lineRule="auto"/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to follow up</w:t>
            </w: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Extended access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Survey</w:t>
            </w:r>
          </w:p>
        </w:tc>
        <w:tc>
          <w:tcPr>
            <w:tcW w:w="9060" w:type="dxa"/>
            <w:shd w:val="clear" w:color="auto" w:fill="auto"/>
          </w:tcPr>
          <w:p w:rsidR="00AB4C91" w:rsidRPr="004132B0" w:rsidRDefault="00AB4C91" w:rsidP="00AB4C91">
            <w:pPr>
              <w:spacing w:after="168"/>
              <w:outlineLvl w:val="1"/>
              <w:rPr>
                <w:rFonts w:ascii="Arial" w:hAnsi="Arial"/>
                <w:b/>
                <w:bCs/>
                <w:color w:val="333333"/>
              </w:rPr>
            </w:pPr>
            <w:r w:rsidRPr="004132B0">
              <w:rPr>
                <w:rFonts w:ascii="Arial" w:hAnsi="Arial"/>
                <w:b/>
                <w:bCs/>
                <w:color w:val="333333"/>
              </w:rPr>
              <w:lastRenderedPageBreak/>
              <w:t>Jill gave a short presentation on Extended access and how it will effect BMP</w:t>
            </w:r>
          </w:p>
          <w:p w:rsidR="00AB4C91" w:rsidRPr="004132B0" w:rsidRDefault="00AB4C91" w:rsidP="00AB4C91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>This is a new service offering evening and weekend appointments with healthcare professionals. It includes family doctors (GPs), pharmacists and other healthcare staff – such as nurses and physiotherapists – and some other services that will help to improve health and wellbeing.  Because it’s a new service, it is being rolled out in stages across Bradford. The first phase is a HUB at Westbourne Green, which covers patients registered with 23 practices. Since 12 June 2017 patients have been offered evening appointments (6.30 – 9.30 pm) and, by December 2017, Patients will be offered Saturday and Sunday morning appointments. This is not a walk in service.  Appointments are pre-bookable with others being available on the day.  An evaluation up to now shows that 97% of GP appointments are being used.</w:t>
            </w:r>
          </w:p>
          <w:p w:rsidR="00AB4C91" w:rsidRPr="004132B0" w:rsidRDefault="00AB4C91" w:rsidP="00AB4C91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 xml:space="preserve">In October 2018 it is intend to roll out this service to everyone registered with </w:t>
            </w:r>
            <w:r w:rsidRPr="004132B0">
              <w:rPr>
                <w:rFonts w:ascii="Arial" w:hAnsi="Arial"/>
                <w:b/>
                <w:color w:val="747474"/>
              </w:rPr>
              <w:lastRenderedPageBreak/>
              <w:t>a GP practice in Bradford City and District.  It is hoped that by April 2018 two more of the HUBs will be in service and by October 2018 there will be about 4 HUBs covering the whole of Bradford City and District.  The debate as to the sighting of the following 3 HUBs has not yet been agreed.  As Bingley is a practice on the ‘Frontier’ on Bradford District this is very concerning for the PPG.</w:t>
            </w:r>
          </w:p>
          <w:p w:rsidR="004132B0" w:rsidRPr="004132B0" w:rsidRDefault="00AB4C91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 xml:space="preserve">At the last meeting of the 4X PPG’ Bingley, Springfield, </w:t>
            </w:r>
            <w:proofErr w:type="spellStart"/>
            <w:r w:rsidRPr="004132B0">
              <w:rPr>
                <w:rFonts w:ascii="Arial" w:hAnsi="Arial"/>
                <w:b/>
                <w:color w:val="747474"/>
              </w:rPr>
              <w:t>Oakglen</w:t>
            </w:r>
            <w:proofErr w:type="spellEnd"/>
            <w:r w:rsidRPr="004132B0">
              <w:rPr>
                <w:rFonts w:ascii="Arial" w:hAnsi="Arial"/>
                <w:b/>
                <w:color w:val="747474"/>
              </w:rPr>
              <w:t xml:space="preserve">, </w:t>
            </w:r>
            <w:r w:rsidR="00F4258B" w:rsidRPr="004132B0">
              <w:rPr>
                <w:rFonts w:ascii="Arial" w:hAnsi="Arial"/>
                <w:b/>
                <w:color w:val="747474"/>
              </w:rPr>
              <w:t>Wilsden It</w:t>
            </w:r>
            <w:r w:rsidR="004132B0" w:rsidRPr="004132B0">
              <w:rPr>
                <w:rFonts w:ascii="Arial" w:hAnsi="Arial"/>
                <w:b/>
                <w:color w:val="747474"/>
              </w:rPr>
              <w:t xml:space="preserve"> was decided that we collectively may have an</w:t>
            </w:r>
            <w:r w:rsidRPr="004132B0">
              <w:rPr>
                <w:rFonts w:ascii="Arial" w:hAnsi="Arial"/>
                <w:b/>
                <w:color w:val="747474"/>
              </w:rPr>
              <w:t xml:space="preserve"> influence into the sighting of the remaining HUBs. </w:t>
            </w:r>
          </w:p>
          <w:p w:rsidR="004132B0" w:rsidRPr="004132B0" w:rsidRDefault="00AB4C91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>Three main questions are forefront in the PPG’s quest</w:t>
            </w:r>
            <w:r w:rsidR="004132B0" w:rsidRPr="004132B0">
              <w:rPr>
                <w:rFonts w:ascii="Arial" w:hAnsi="Arial"/>
                <w:b/>
                <w:color w:val="747474"/>
              </w:rPr>
              <w:t>.</w:t>
            </w:r>
            <w:r w:rsidRPr="004132B0">
              <w:rPr>
                <w:rFonts w:ascii="Arial" w:hAnsi="Arial"/>
                <w:b/>
                <w:color w:val="747474"/>
              </w:rPr>
              <w:t xml:space="preserve"> </w:t>
            </w:r>
          </w:p>
          <w:p w:rsidR="00AB4C91" w:rsidRPr="004132B0" w:rsidRDefault="004132B0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 xml:space="preserve">1.  </w:t>
            </w:r>
            <w:r w:rsidR="00AB4C91" w:rsidRPr="004132B0">
              <w:rPr>
                <w:rFonts w:ascii="Arial" w:hAnsi="Arial"/>
                <w:b/>
                <w:color w:val="747474"/>
              </w:rPr>
              <w:t>Travel Time Criteria – this is the amount of time and distance a patient will be expected to get to a HUB either by car or public transport.</w:t>
            </w:r>
          </w:p>
          <w:p w:rsidR="00AB4C91" w:rsidRPr="004132B0" w:rsidRDefault="004132B0" w:rsidP="00AB4C91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 xml:space="preserve">2.  </w:t>
            </w:r>
            <w:r w:rsidR="00AB4C91" w:rsidRPr="004132B0">
              <w:rPr>
                <w:rFonts w:ascii="Arial" w:hAnsi="Arial"/>
                <w:b/>
                <w:color w:val="747474"/>
              </w:rPr>
              <w:t>Our Patients who visit the HUB and see a GP will that GP have access to their clinical records?</w:t>
            </w:r>
          </w:p>
          <w:p w:rsidR="00AB4C91" w:rsidRPr="004132B0" w:rsidRDefault="004132B0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 xml:space="preserve">3.  </w:t>
            </w:r>
            <w:r w:rsidR="00AB4C91" w:rsidRPr="004132B0">
              <w:rPr>
                <w:rFonts w:ascii="Arial" w:hAnsi="Arial"/>
                <w:b/>
                <w:color w:val="747474"/>
              </w:rPr>
              <w:t xml:space="preserve">Extended hours </w:t>
            </w:r>
            <w:r w:rsidRPr="004132B0">
              <w:rPr>
                <w:rFonts w:ascii="Arial" w:hAnsi="Arial"/>
                <w:b/>
                <w:color w:val="747474"/>
              </w:rPr>
              <w:t xml:space="preserve">that are </w:t>
            </w:r>
            <w:r w:rsidR="00AB4C91" w:rsidRPr="004132B0">
              <w:rPr>
                <w:rFonts w:ascii="Arial" w:hAnsi="Arial"/>
                <w:b/>
                <w:color w:val="747474"/>
              </w:rPr>
              <w:t xml:space="preserve">already provided by the Practice.  Will these continue and </w:t>
            </w:r>
            <w:r w:rsidRPr="004132B0">
              <w:rPr>
                <w:rFonts w:ascii="Arial" w:hAnsi="Arial"/>
                <w:b/>
                <w:color w:val="747474"/>
              </w:rPr>
              <w:t>will they continue to be funded?</w:t>
            </w:r>
          </w:p>
          <w:p w:rsidR="004132B0" w:rsidRPr="004132B0" w:rsidRDefault="004132B0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>Jill asked the PPG if we could survey the patients to ascertain support for these questions.  The PPG gave Jill full support on this.</w:t>
            </w:r>
          </w:p>
          <w:p w:rsidR="004132B0" w:rsidRPr="004132B0" w:rsidRDefault="004132B0" w:rsidP="004132B0">
            <w:pPr>
              <w:spacing w:after="300"/>
              <w:rPr>
                <w:rFonts w:ascii="Arial" w:hAnsi="Arial"/>
                <w:b/>
                <w:color w:val="747474"/>
              </w:rPr>
            </w:pPr>
            <w:r w:rsidRPr="004132B0">
              <w:rPr>
                <w:rFonts w:ascii="Arial" w:hAnsi="Arial"/>
                <w:b/>
                <w:color w:val="747474"/>
              </w:rPr>
              <w:t>The other practices are doing similar surveys.</w:t>
            </w:r>
          </w:p>
          <w:p w:rsidR="00AB4C91" w:rsidRPr="004132B0" w:rsidRDefault="00AB4C91" w:rsidP="00AB4C91">
            <w:pPr>
              <w:spacing w:after="300"/>
              <w:rPr>
                <w:rFonts w:ascii="Arial" w:hAnsi="Arial"/>
                <w:color w:val="747474"/>
              </w:rPr>
            </w:pP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E36FC1" w:rsidP="004132B0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to organise</w:t>
            </w: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Practice Report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Carey Dowson</w:t>
            </w:r>
          </w:p>
          <w:p w:rsidR="00E36FC1" w:rsidRDefault="00E36FC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9060" w:type="dxa"/>
            <w:shd w:val="clear" w:color="auto" w:fill="auto"/>
          </w:tcPr>
          <w:p w:rsidR="00E36FC1" w:rsidRDefault="00E36FC1">
            <w:pPr>
              <w:pStyle w:val="Normal1"/>
              <w:spacing w:line="300" w:lineRule="auto"/>
              <w:rPr>
                <w:rFonts w:ascii="Tahoma" w:eastAsia="Tahoma" w:hAnsi="Tahoma" w:cs="Tahoma"/>
                <w:color w:val="212121"/>
                <w:sz w:val="23"/>
                <w:szCs w:val="23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Carey asked if we could engage the young people more during the PPG Meetings? &amp; </w:t>
            </w:r>
            <w:r w:rsidR="00F4258B">
              <w:rPr>
                <w:rFonts w:ascii="Arial" w:eastAsia="Arial" w:hAnsi="Arial" w:cs="Arial"/>
              </w:rPr>
              <w:t>Asked</w:t>
            </w:r>
            <w:r>
              <w:rPr>
                <w:rFonts w:ascii="Arial" w:eastAsia="Arial" w:hAnsi="Arial" w:cs="Arial"/>
              </w:rPr>
              <w:t xml:space="preserve"> Amelia if she could write about her experience during he</w:t>
            </w:r>
            <w:r w:rsidR="004132B0">
              <w:rPr>
                <w:rFonts w:ascii="Arial" w:eastAsia="Arial" w:hAnsi="Arial" w:cs="Arial"/>
              </w:rPr>
              <w:t>r time spent in the back office for the newsletter.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Michelle McGill would be holding a COPD Awareness </w:t>
            </w:r>
            <w:r w:rsidR="00F4258B">
              <w:rPr>
                <w:rFonts w:ascii="Arial" w:eastAsia="Arial" w:hAnsi="Arial" w:cs="Arial"/>
              </w:rPr>
              <w:t>self-care</w:t>
            </w:r>
            <w:r>
              <w:rPr>
                <w:rFonts w:ascii="Arial" w:eastAsia="Arial" w:hAnsi="Arial" w:cs="Arial"/>
              </w:rPr>
              <w:t xml:space="preserve"> week.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Carey said could we start thinking about our young mums - postnatal - How do we get that patient demographic? The GP’s could support a Facebook page. </w:t>
            </w:r>
            <w:r w:rsidR="00F4258B">
              <w:rPr>
                <w:rFonts w:ascii="Arial" w:eastAsia="Arial" w:hAnsi="Arial" w:cs="Arial"/>
              </w:rPr>
              <w:lastRenderedPageBreak/>
              <w:t>Discussion</w:t>
            </w:r>
            <w:r>
              <w:rPr>
                <w:rFonts w:ascii="Arial" w:eastAsia="Arial" w:hAnsi="Arial" w:cs="Arial"/>
              </w:rPr>
              <w:t xml:space="preserve"> re weekly clinics to be rotated - mother &amp; baby groups. </w:t>
            </w:r>
            <w:r w:rsidR="00F4258B">
              <w:rPr>
                <w:rFonts w:ascii="Arial" w:eastAsia="Arial" w:hAnsi="Arial" w:cs="Arial"/>
              </w:rPr>
              <w:t>Weigh</w:t>
            </w:r>
            <w:r>
              <w:rPr>
                <w:rFonts w:ascii="Arial" w:eastAsia="Arial" w:hAnsi="Arial" w:cs="Arial"/>
              </w:rPr>
              <w:t xml:space="preserve"> in sessions and support re weaning &amp; child safety. 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Sadly Dr Pitcairn will be retiring in 6 months time we would like to take this opportunity to thank her for the huge amount of work that she has put into the </w:t>
            </w:r>
            <w:r w:rsidR="00F4258B">
              <w:rPr>
                <w:rFonts w:ascii="Arial" w:eastAsia="Arial" w:hAnsi="Arial" w:cs="Arial"/>
              </w:rPr>
              <w:t xml:space="preserve">PPG. </w:t>
            </w:r>
            <w:r>
              <w:rPr>
                <w:rFonts w:ascii="Arial" w:eastAsia="Arial" w:hAnsi="Arial" w:cs="Arial"/>
              </w:rPr>
              <w:t xml:space="preserve">The practice will miss her very much. Dr Pitcairn stated that she appreciates all the work that the PPG do </w:t>
            </w:r>
          </w:p>
          <w:p w:rsidR="00E36FC1" w:rsidRDefault="00E36FC1">
            <w:pPr>
              <w:pStyle w:val="Normal1"/>
              <w:rPr>
                <w:rFonts w:ascii="Cambria" w:eastAsia="Cambria" w:hAnsi="Cambria" w:cs="Cambria"/>
              </w:rPr>
            </w:pPr>
          </w:p>
          <w:p w:rsidR="00E36FC1" w:rsidRDefault="00E36FC1">
            <w:pPr>
              <w:pStyle w:val="Normal1"/>
              <w:spacing w:line="300" w:lineRule="auto"/>
              <w:rPr>
                <w:rFonts w:ascii="Tahoma" w:eastAsia="Tahoma" w:hAnsi="Tahoma" w:cs="Tahoma"/>
                <w:color w:val="212121"/>
                <w:sz w:val="23"/>
                <w:szCs w:val="23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Executive to discuss</w:t>
            </w: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</w:tc>
      </w:tr>
      <w:tr w:rsidR="00E36FC1">
        <w:trPr>
          <w:trHeight w:val="1740"/>
        </w:trPr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9060" w:type="dxa"/>
            <w:shd w:val="clear" w:color="auto" w:fill="auto"/>
          </w:tcPr>
          <w:p w:rsidR="00E36FC1" w:rsidRDefault="002244D7">
            <w:pPr>
              <w:pStyle w:val="Normal1"/>
            </w:pPr>
            <w: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</w:tc>
      </w:tr>
      <w:tr w:rsidR="00E36FC1">
        <w:trPr>
          <w:trHeight w:val="1740"/>
        </w:trPr>
        <w:tc>
          <w:tcPr>
            <w:tcW w:w="4020" w:type="dxa"/>
            <w:shd w:val="clear" w:color="auto" w:fill="auto"/>
          </w:tcPr>
          <w:p w:rsidR="00E36FC1" w:rsidRDefault="00E36FC1">
            <w:pPr>
              <w:pStyle w:val="Normal1"/>
              <w:jc w:val="center"/>
              <w:rPr>
                <w:b/>
              </w:rPr>
            </w:pPr>
          </w:p>
          <w:p w:rsidR="00E36FC1" w:rsidRDefault="002244D7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A.O.B.</w:t>
            </w:r>
          </w:p>
        </w:tc>
        <w:tc>
          <w:tcPr>
            <w:tcW w:w="9060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has been to a meeting in October with the GP’s in the practice and she is very pleased with how supportive they all are towards the PPG &amp; that the GP’s felt that the PPG was an integral part of the practice.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dementia care is being done as a network of PPG’S With the possibility of joining with </w:t>
            </w:r>
            <w:r w:rsidR="00F4258B">
              <w:rPr>
                <w:rFonts w:ascii="Arial" w:eastAsia="Arial" w:hAnsi="Arial" w:cs="Arial"/>
              </w:rPr>
              <w:t>Baildon</w:t>
            </w:r>
            <w:r>
              <w:rPr>
                <w:rFonts w:ascii="Arial" w:eastAsia="Arial" w:hAnsi="Arial" w:cs="Arial"/>
              </w:rPr>
              <w:t xml:space="preserve"> - We will watch this space to see how things pan out 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Lynn Asquith Arts centre meeting re mental health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asked - Could someone else be the number holder and helping with the role of CPAD Guardian and that someone has used the Defibrillator!!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David Patients for student doctors - Wanting the PPG members to volunteer to be </w:t>
            </w:r>
            <w:r w:rsidR="00F4258B">
              <w:rPr>
                <w:rFonts w:ascii="Arial" w:eastAsia="Arial" w:hAnsi="Arial" w:cs="Arial"/>
              </w:rPr>
              <w:t>role model</w:t>
            </w:r>
            <w:r>
              <w:rPr>
                <w:rFonts w:ascii="Arial" w:eastAsia="Arial" w:hAnsi="Arial" w:cs="Arial"/>
              </w:rPr>
              <w:t xml:space="preserve"> patients for 5th year students who would play a role of imaginary illness. They are to lease with Louise Gravner. David said that everyone at the practice was very grateful for their help.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Jill to co-ordinate.</w:t>
            </w: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 to co-ordinate with interested members</w:t>
            </w:r>
          </w:p>
        </w:tc>
      </w:tr>
      <w:tr w:rsidR="00E36FC1">
        <w:tc>
          <w:tcPr>
            <w:tcW w:w="4020" w:type="dxa"/>
            <w:shd w:val="clear" w:color="auto" w:fill="auto"/>
          </w:tcPr>
          <w:p w:rsidR="00E36FC1" w:rsidRDefault="002244D7">
            <w:pPr>
              <w:pStyle w:val="Normal1"/>
            </w:pPr>
            <w:r>
              <w:t xml:space="preserve"> </w:t>
            </w:r>
          </w:p>
          <w:p w:rsidR="00E36FC1" w:rsidRDefault="002244D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next meeting</w:t>
            </w:r>
          </w:p>
        </w:tc>
        <w:tc>
          <w:tcPr>
            <w:tcW w:w="9060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2244D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 January 8th 2018</w:t>
            </w:r>
          </w:p>
          <w:p w:rsidR="00E36FC1" w:rsidRDefault="00E36FC1">
            <w:pPr>
              <w:pStyle w:val="Normal1"/>
              <w:rPr>
                <w:rFonts w:ascii="Arial" w:eastAsia="Arial" w:hAnsi="Arial" w:cs="Arial"/>
                <w:b/>
              </w:rPr>
            </w:pPr>
          </w:p>
        </w:tc>
        <w:tc>
          <w:tcPr>
            <w:tcW w:w="3405" w:type="dxa"/>
            <w:shd w:val="clear" w:color="auto" w:fill="auto"/>
          </w:tcPr>
          <w:p w:rsidR="00E36FC1" w:rsidRDefault="00E36FC1">
            <w:pPr>
              <w:pStyle w:val="Normal1"/>
            </w:pPr>
          </w:p>
          <w:p w:rsidR="00E36FC1" w:rsidRDefault="00E36FC1">
            <w:pPr>
              <w:pStyle w:val="Normal1"/>
            </w:pPr>
          </w:p>
        </w:tc>
      </w:tr>
    </w:tbl>
    <w:p w:rsidR="00E36FC1" w:rsidRDefault="00E36FC1">
      <w:pPr>
        <w:pStyle w:val="Normal1"/>
      </w:pPr>
    </w:p>
    <w:sectPr w:rsidR="00E36FC1">
      <w:pgSz w:w="16838" w:h="11906"/>
      <w:pgMar w:top="170" w:right="255" w:bottom="176" w:left="3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A93"/>
    <w:multiLevelType w:val="hybridMultilevel"/>
    <w:tmpl w:val="205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554F"/>
    <w:multiLevelType w:val="multilevel"/>
    <w:tmpl w:val="118EC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6FC1"/>
    <w:rsid w:val="002244D7"/>
    <w:rsid w:val="004132B0"/>
    <w:rsid w:val="00AB4C91"/>
    <w:rsid w:val="00C26287"/>
    <w:rsid w:val="00E36FC1"/>
    <w:rsid w:val="00F02215"/>
    <w:rsid w:val="00F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4C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4C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Dowson Carey</dc:creator>
  <cp:lastModifiedBy>Dowson Carey</cp:lastModifiedBy>
  <cp:revision>2</cp:revision>
  <cp:lastPrinted>2018-01-15T17:46:00Z</cp:lastPrinted>
  <dcterms:created xsi:type="dcterms:W3CDTF">2018-01-15T17:48:00Z</dcterms:created>
  <dcterms:modified xsi:type="dcterms:W3CDTF">2018-01-15T17:48:00Z</dcterms:modified>
</cp:coreProperties>
</file>